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663C" w14:textId="77777777" w:rsidR="007F47F2" w:rsidRPr="009C3E49" w:rsidRDefault="007F47F2" w:rsidP="009C3E49">
      <w:pPr>
        <w:spacing w:line="276" w:lineRule="auto"/>
        <w:jc w:val="center"/>
      </w:pPr>
      <w:r w:rsidRPr="009C3E49">
        <w:t>АДМИНИСТРАЦИЯ НАВЛИНСКОГО РАЙОНА</w:t>
      </w:r>
    </w:p>
    <w:p w14:paraId="3794EBEE" w14:textId="77777777" w:rsidR="007F47F2" w:rsidRPr="009C3E49" w:rsidRDefault="007F47F2" w:rsidP="009C3E49">
      <w:pPr>
        <w:spacing w:line="276" w:lineRule="auto"/>
        <w:jc w:val="center"/>
      </w:pPr>
      <w:r w:rsidRPr="009C3E49">
        <w:t>БРЯНСК</w:t>
      </w:r>
      <w:r w:rsidR="00AE07A3" w:rsidRPr="009C3E49">
        <w:t>ОЙ</w:t>
      </w:r>
      <w:r w:rsidRPr="009C3E49">
        <w:t xml:space="preserve"> ОБЛАСТ</w:t>
      </w:r>
      <w:r w:rsidR="00AE07A3" w:rsidRPr="009C3E49">
        <w:t>И</w:t>
      </w:r>
    </w:p>
    <w:p w14:paraId="672BE505" w14:textId="77777777" w:rsidR="007F47F2" w:rsidRPr="009C3E49" w:rsidRDefault="007F47F2" w:rsidP="009C3E49">
      <w:pPr>
        <w:spacing w:line="276" w:lineRule="auto"/>
        <w:jc w:val="center"/>
      </w:pPr>
    </w:p>
    <w:p w14:paraId="19FDEFAC" w14:textId="77777777" w:rsidR="007F47F2" w:rsidRPr="009C3E49" w:rsidRDefault="007F47F2" w:rsidP="009C3E49">
      <w:pPr>
        <w:spacing w:line="276" w:lineRule="auto"/>
        <w:jc w:val="center"/>
      </w:pPr>
      <w:r w:rsidRPr="009C3E49">
        <w:t>РЕШЕНИЕ</w:t>
      </w:r>
    </w:p>
    <w:p w14:paraId="3DE060D1" w14:textId="77777777" w:rsidR="007F47F2" w:rsidRPr="009C3E49" w:rsidRDefault="007F47F2" w:rsidP="009C3E49">
      <w:pPr>
        <w:spacing w:line="276" w:lineRule="auto"/>
        <w:jc w:val="center"/>
      </w:pPr>
      <w:r w:rsidRPr="009C3E49">
        <w:t>к</w:t>
      </w:r>
      <w:r w:rsidR="00460358" w:rsidRPr="009C3E49">
        <w:t xml:space="preserve">оллегии при главе администрации Навлинского </w:t>
      </w:r>
      <w:r w:rsidRPr="009C3E49">
        <w:t>района</w:t>
      </w:r>
    </w:p>
    <w:p w14:paraId="15971EF5" w14:textId="77777777" w:rsidR="007F47F2" w:rsidRPr="009C3E49" w:rsidRDefault="007F47F2" w:rsidP="009C3E49">
      <w:pPr>
        <w:spacing w:line="276" w:lineRule="auto"/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A134F9" w:rsidRPr="009C3E49" w14:paraId="6CD416B1" w14:textId="77777777" w:rsidTr="009C3E49">
        <w:tc>
          <w:tcPr>
            <w:tcW w:w="6062" w:type="dxa"/>
          </w:tcPr>
          <w:p w14:paraId="6E8DA15D" w14:textId="5F68261F" w:rsidR="00A134F9" w:rsidRPr="009C3E49" w:rsidRDefault="00A134F9" w:rsidP="00F67801">
            <w:pPr>
              <w:spacing w:line="276" w:lineRule="auto"/>
              <w:jc w:val="both"/>
            </w:pPr>
            <w:r w:rsidRPr="009C3E49">
              <w:t xml:space="preserve">от </w:t>
            </w:r>
            <w:r w:rsidR="000A099B">
              <w:t>27.10.2025г</w:t>
            </w:r>
            <w:r w:rsidRPr="009C3E49">
              <w:t xml:space="preserve"> №</w:t>
            </w:r>
            <w:r>
              <w:t xml:space="preserve"> </w:t>
            </w:r>
            <w:r w:rsidR="000A099B">
              <w:t>10/1</w:t>
            </w:r>
          </w:p>
        </w:tc>
        <w:tc>
          <w:tcPr>
            <w:tcW w:w="3685" w:type="dxa"/>
          </w:tcPr>
          <w:p w14:paraId="4A745B01" w14:textId="77777777" w:rsidR="00A134F9" w:rsidRPr="009C3E49" w:rsidRDefault="00A134F9" w:rsidP="009C3E49">
            <w:pPr>
              <w:spacing w:line="276" w:lineRule="auto"/>
              <w:jc w:val="both"/>
            </w:pPr>
          </w:p>
        </w:tc>
      </w:tr>
      <w:tr w:rsidR="00A134F9" w:rsidRPr="009C3E49" w14:paraId="09A49E33" w14:textId="77777777" w:rsidTr="009C3E49">
        <w:tc>
          <w:tcPr>
            <w:tcW w:w="6062" w:type="dxa"/>
          </w:tcPr>
          <w:p w14:paraId="2AF8669B" w14:textId="74E7DA73" w:rsidR="00A134F9" w:rsidRPr="009C3E49" w:rsidRDefault="00A134F9" w:rsidP="00F67801">
            <w:pPr>
              <w:spacing w:line="276" w:lineRule="auto"/>
              <w:jc w:val="both"/>
            </w:pPr>
            <w:r>
              <w:t>р</w:t>
            </w:r>
            <w:r w:rsidRPr="009C3E49">
              <w:t>п. Навля</w:t>
            </w:r>
          </w:p>
        </w:tc>
        <w:tc>
          <w:tcPr>
            <w:tcW w:w="3685" w:type="dxa"/>
          </w:tcPr>
          <w:p w14:paraId="16850F32" w14:textId="77777777" w:rsidR="00A134F9" w:rsidRPr="009C3E49" w:rsidRDefault="00A134F9" w:rsidP="009C3E49">
            <w:pPr>
              <w:spacing w:line="276" w:lineRule="auto"/>
              <w:jc w:val="both"/>
            </w:pPr>
          </w:p>
        </w:tc>
      </w:tr>
      <w:tr w:rsidR="00A134F9" w:rsidRPr="009C3E49" w14:paraId="04F3C106" w14:textId="77777777" w:rsidTr="009C3E49">
        <w:tc>
          <w:tcPr>
            <w:tcW w:w="6062" w:type="dxa"/>
          </w:tcPr>
          <w:p w14:paraId="42779A3A" w14:textId="77777777" w:rsidR="00A134F9" w:rsidRPr="009C3E49" w:rsidRDefault="00A134F9" w:rsidP="00F67801">
            <w:pPr>
              <w:spacing w:line="276" w:lineRule="auto"/>
              <w:jc w:val="both"/>
            </w:pPr>
          </w:p>
        </w:tc>
        <w:tc>
          <w:tcPr>
            <w:tcW w:w="3685" w:type="dxa"/>
          </w:tcPr>
          <w:p w14:paraId="01646E9A" w14:textId="77777777" w:rsidR="00A134F9" w:rsidRPr="009C3E49" w:rsidRDefault="00A134F9" w:rsidP="009C3E49">
            <w:pPr>
              <w:spacing w:line="276" w:lineRule="auto"/>
              <w:jc w:val="both"/>
            </w:pPr>
          </w:p>
        </w:tc>
      </w:tr>
      <w:tr w:rsidR="00130714" w:rsidRPr="009C3E49" w14:paraId="5CBA9B8F" w14:textId="77777777" w:rsidTr="009C3E49">
        <w:tc>
          <w:tcPr>
            <w:tcW w:w="6062" w:type="dxa"/>
          </w:tcPr>
          <w:p w14:paraId="618B5533" w14:textId="00382242" w:rsidR="00130714" w:rsidRPr="009C3E49" w:rsidRDefault="00130714" w:rsidP="00F67801">
            <w:pPr>
              <w:spacing w:line="276" w:lineRule="auto"/>
              <w:jc w:val="both"/>
            </w:pPr>
            <w:r w:rsidRPr="009C3E49">
              <w:t>Об исполнении бюджета</w:t>
            </w:r>
            <w:r w:rsidR="009C3E49">
              <w:t xml:space="preserve"> </w:t>
            </w:r>
            <w:bookmarkStart w:id="0" w:name="_Hlk68614782"/>
            <w:r w:rsidRPr="009C3E49">
              <w:t>Навлинск</w:t>
            </w:r>
            <w:r w:rsidR="00294182">
              <w:t>ого муниципального района Брянской области</w:t>
            </w:r>
            <w:r w:rsidRPr="009C3E49">
              <w:t xml:space="preserve"> </w:t>
            </w:r>
            <w:bookmarkEnd w:id="0"/>
            <w:r w:rsidRPr="009C3E49">
              <w:t xml:space="preserve">за </w:t>
            </w:r>
            <w:r w:rsidR="00214ABE">
              <w:t>9 месяцев</w:t>
            </w:r>
            <w:r w:rsidRPr="009C3E49">
              <w:t xml:space="preserve"> 20</w:t>
            </w:r>
            <w:r w:rsidR="00C50EDF">
              <w:t>2</w:t>
            </w:r>
            <w:r w:rsidR="002A1715">
              <w:t>5</w:t>
            </w:r>
            <w:r w:rsidRPr="009C3E49">
              <w:t xml:space="preserve"> года</w:t>
            </w:r>
          </w:p>
        </w:tc>
        <w:tc>
          <w:tcPr>
            <w:tcW w:w="3685" w:type="dxa"/>
          </w:tcPr>
          <w:p w14:paraId="39506835" w14:textId="77777777" w:rsidR="00130714" w:rsidRPr="009C3E49" w:rsidRDefault="00130714" w:rsidP="009C3E49">
            <w:pPr>
              <w:spacing w:line="276" w:lineRule="auto"/>
              <w:jc w:val="both"/>
            </w:pPr>
          </w:p>
        </w:tc>
      </w:tr>
    </w:tbl>
    <w:p w14:paraId="7DEEA2C6" w14:textId="77777777" w:rsidR="0087242D" w:rsidRPr="009C3E49" w:rsidRDefault="0087242D" w:rsidP="009C3E49">
      <w:pPr>
        <w:spacing w:line="276" w:lineRule="auto"/>
        <w:jc w:val="both"/>
      </w:pPr>
    </w:p>
    <w:p w14:paraId="3A344222" w14:textId="61F62D81" w:rsidR="00EC00DE" w:rsidRPr="009C3E49" w:rsidRDefault="007F47F2" w:rsidP="009C3E49">
      <w:pPr>
        <w:spacing w:line="276" w:lineRule="auto"/>
        <w:ind w:firstLine="567"/>
        <w:jc w:val="both"/>
      </w:pPr>
      <w:r w:rsidRPr="00777148">
        <w:t xml:space="preserve">Заслушав и обсудив доклад </w:t>
      </w:r>
      <w:bookmarkStart w:id="1" w:name="_Hlk132636103"/>
      <w:r w:rsidRPr="00777148">
        <w:t>заместителя</w:t>
      </w:r>
      <w:r w:rsidR="002A1715">
        <w:t xml:space="preserve"> главы администрации района,</w:t>
      </w:r>
      <w:r w:rsidRPr="00777148">
        <w:t xml:space="preserve"> </w:t>
      </w:r>
      <w:bookmarkStart w:id="2" w:name="_Hlk68614806"/>
      <w:r w:rsidR="00791AAA">
        <w:t>начальника финансового управления администрации района</w:t>
      </w:r>
      <w:r w:rsidR="00777148" w:rsidRPr="00777148">
        <w:t xml:space="preserve"> </w:t>
      </w:r>
      <w:bookmarkEnd w:id="1"/>
      <w:bookmarkEnd w:id="2"/>
      <w:r w:rsidR="002A1715">
        <w:t>Сонных Т.А.</w:t>
      </w:r>
      <w:r w:rsidR="00FD6E21">
        <w:t xml:space="preserve"> </w:t>
      </w:r>
      <w:r w:rsidR="00BE60AE">
        <w:t>к</w:t>
      </w:r>
      <w:r w:rsidRPr="00777148">
        <w:t>оллегия</w:t>
      </w:r>
      <w:r w:rsidRPr="009C3E49">
        <w:t xml:space="preserve"> </w:t>
      </w:r>
      <w:r w:rsidR="00BE60AE">
        <w:t xml:space="preserve">при главе администрации </w:t>
      </w:r>
      <w:r w:rsidRPr="009C3E49">
        <w:t>отмечает:</w:t>
      </w:r>
    </w:p>
    <w:p w14:paraId="30C81A65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Исполнение бюджета района осуществляется в рамках действующих положений Бюджетного кодекса РФ, межбюджетных отношений, сформированных между областным бюджетом и бюджетом района, и в соответствии с Решением районного Совета народных депутатов от 24.12.2024 №7-56 «О бюджете </w:t>
      </w:r>
      <w:bookmarkStart w:id="3" w:name="_Hlk37774670"/>
      <w:r w:rsidRPr="00214ABE">
        <w:t xml:space="preserve">Навлинского муниципального района Брянской области </w:t>
      </w:r>
      <w:bookmarkEnd w:id="3"/>
      <w:r w:rsidRPr="00214ABE">
        <w:t>на 2025 год и на плановый период 2026 и 2027 годов».</w:t>
      </w:r>
    </w:p>
    <w:p w14:paraId="07A96279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Бюджет Навлинского муниципального района Брянской области за 9 месяцев 2025 года исполнен по доходам в сумме 565 651 тыс. руб., расходам – 513 331 тыс. руб., с превышением доходов над расходами (профицит бюджета) в сумме 52 320 тыс. руб.</w:t>
      </w:r>
    </w:p>
    <w:p w14:paraId="08335DE7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b/>
        </w:rPr>
        <w:t>Доходы</w:t>
      </w:r>
      <w:r w:rsidRPr="00214ABE">
        <w:t xml:space="preserve"> бюджета муниципального района увеличены к уровню прошлого года на 109 174 тыс. руб. или на 23,9% и составили 565 651 тыс. руб., или 73,0% годового плана. </w:t>
      </w:r>
    </w:p>
    <w:p w14:paraId="35A62542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В структуре доходов бюджета налоговые и неналоговые доходы занимают 30,5%, безвозмездные поступления из других уровней бюджетной системы – 69,5%.</w:t>
      </w:r>
    </w:p>
    <w:p w14:paraId="41F0339C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Объем поступлений налоговых и неналоговых доходов составил 172 770 тыс. руб., темп роста – 124,6%. Годовой план исполнен на 85,8%. </w:t>
      </w:r>
    </w:p>
    <w:p w14:paraId="36F8D152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Удельный вес налоговых доходов в общей сумме налоговых и неналоговых доходов составил 94,4%, неналоговых –5,6%. </w:t>
      </w:r>
    </w:p>
    <w:p w14:paraId="028314FA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В целом за отчетный период поступления собственных доходов увеличены к уровню предыдущего года на 34 091 тыс. руб., при этом налоговые доходы выросли на 34 421 тыс. руб., неналоговые доходы уменьшены на 330 тыс. руб. </w:t>
      </w:r>
    </w:p>
    <w:p w14:paraId="79C87AA8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Существенный рост налоговых доходов обеспечен, в основном, увеличением поступлений налога на доходы физических лиц (далее – НДФЛ) в связи с повышением МРОТ и увеличением дополнительного норматива отчислений от НДФЛ (+1%).</w:t>
      </w:r>
    </w:p>
    <w:p w14:paraId="1B1675F3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Основные поступления в бюджет района (89,6%) обеспечены тремя доходными источниками: НДФЛ, налоги на товары (работы, услуги), реализуемые на территории РФ, и налог взимаемые с применением патентной системы налогообложения.</w:t>
      </w:r>
    </w:p>
    <w:p w14:paraId="47B79982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Наибольший удельный вес, по-прежнему, занимает НДФЛ – 80,3% (138 724 тыс. руб.). По сравнению с прошлым годом поступления налога на доходы физических лиц увеличены на 28 468 тыс. руб., темп роста составил 125,8%. Годовой план исполнен на 80,8%.</w:t>
      </w:r>
    </w:p>
    <w:p w14:paraId="6988ECD6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По группе налогов на совокупный доход поступления увеличены к уровню предыдущего года (далее – АППГ) на 1 214 тыс. руб., в том числе по патентам – на 286 тыс. руб., по единому сельскохозяйственному налогу – на 929 тыс. руб.</w:t>
      </w:r>
    </w:p>
    <w:p w14:paraId="44F2BB10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lastRenderedPageBreak/>
        <w:t xml:space="preserve">По группе </w:t>
      </w:r>
      <w:bookmarkStart w:id="4" w:name="_Hlk131512171"/>
      <w:r w:rsidRPr="00214ABE">
        <w:t>налогов на товары (работы, услуги), реализуемые на территории РФ</w:t>
      </w:r>
      <w:bookmarkEnd w:id="4"/>
      <w:r w:rsidRPr="00214ABE">
        <w:t xml:space="preserve">, доходы от акцизов на ГСМ увеличены на 1 145 тыс. руб. и составили 10 375 тыс. руб., темп роста – 112,4%. Годовой план исполнен на 73,9%. </w:t>
      </w:r>
    </w:p>
    <w:p w14:paraId="2EFF2F2D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Государственная пошлина поступила в сумме 6 314 тыс. руб., что выше АППГ на 3 594 тыс. руб. Годовой план исполнен на 212,3%, темп роста к АППГ составил 232,1%. Рост поступлений связан с ростом размеров госпошлины при подаче исков в суды общей юрисдикции с 09.09.2024 в соответствии с введенными в НК РФ Федеральным законом от 08.08.2024 №259-ФЗ изменениями.</w:t>
      </w:r>
    </w:p>
    <w:p w14:paraId="0EC1AD70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Объем неналоговых платежей за отчетный период составил 9 625 тыс. руб., что ниже АППГ на 330 тыс. руб., годовой план исполнен на 158,2%. </w:t>
      </w:r>
    </w:p>
    <w:p w14:paraId="37275E3B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Доходы от использования имущества, находящегося в муниципальной собственности, поступили ниже АППГ на 222 тыс. руб. и составили 2 733 тыс. руб. По указанному доходному источнику в бюджет поступали доходы от сдачи в аренду имущества, находящегося в муниципальной собственности, доходы от </w:t>
      </w:r>
      <w:bookmarkStart w:id="5" w:name="_Hlk162950865"/>
      <w:r w:rsidRPr="00214ABE">
        <w:t>арендной платы за земельные участки</w:t>
      </w:r>
      <w:bookmarkEnd w:id="5"/>
      <w:r w:rsidRPr="00214ABE">
        <w:t>, расположенные в границах поселений. Основное снижение произошло по арендной плате за земельные участки.</w:t>
      </w:r>
    </w:p>
    <w:p w14:paraId="7C56CE47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Доходы от продажи материальных и нематериальных активов уменьшены на 788 тыс. руб. и составили 4 601 тыс. руб. Годовой план исполнен на 147,5%.</w:t>
      </w:r>
    </w:p>
    <w:p w14:paraId="2934799F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 Доходы от поступления штрафных санкций увеличены на 697 тыс. руб. и составили 1 591 тыс. руб. Годовой план исполнен на 207,4%.</w:t>
      </w:r>
    </w:p>
    <w:p w14:paraId="5D2A9E1B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В 2025 году в целях снижения недоимки проведено 9 заседаний комиссии по определению причин неплатежеспособности предприятий и организаций, сокращению взаимных неплатежей и недоимки по платежам в бюджеты всех уровней, дополнительно поступило в бюджеты всех уровней 13 786 тыс. руб., в том числе в консолидированный бюджет района – 1 215 тыс. руб. </w:t>
      </w:r>
    </w:p>
    <w:p w14:paraId="47004760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Объем безвозмездных поступлений из других уровней бюджетной системы составил 392 881 тыс. руб. или 63,4 % к плановым назначениям, в том числе:</w:t>
      </w:r>
    </w:p>
    <w:p w14:paraId="70BF1858" w14:textId="77777777" w:rsidR="00214ABE" w:rsidRPr="00214ABE" w:rsidRDefault="00214ABE" w:rsidP="00214ABE">
      <w:pPr>
        <w:numPr>
          <w:ilvl w:val="0"/>
          <w:numId w:val="8"/>
        </w:numPr>
        <w:spacing w:line="276" w:lineRule="auto"/>
        <w:jc w:val="both"/>
      </w:pPr>
      <w:r w:rsidRPr="00214ABE">
        <w:t>областной бюджет –387 448 тыс. руб. (98,6%);</w:t>
      </w:r>
    </w:p>
    <w:p w14:paraId="6E15EC71" w14:textId="77777777" w:rsidR="00214ABE" w:rsidRPr="00214ABE" w:rsidRDefault="00214ABE" w:rsidP="00214ABE">
      <w:pPr>
        <w:numPr>
          <w:ilvl w:val="0"/>
          <w:numId w:val="8"/>
        </w:numPr>
        <w:spacing w:line="276" w:lineRule="auto"/>
        <w:jc w:val="both"/>
      </w:pPr>
      <w:r w:rsidRPr="00214ABE">
        <w:t>бюджеты поселений (на осуществление переданных полномочий) – 5 433 тыс. руб. (1,4%).</w:t>
      </w:r>
    </w:p>
    <w:p w14:paraId="5A1C8A49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К уровню прошлого года объем безвозмездных поступлений в целом вырос на 75 083 тыс. руб.</w:t>
      </w:r>
    </w:p>
    <w:p w14:paraId="13F1E744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Объем дотаций увеличен на 1 865 тыс. руб. и составил 56 850 тыс. руб.</w:t>
      </w:r>
    </w:p>
    <w:p w14:paraId="4241DFE3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Объем иных межбюджетных трансфертов увеличен на 8 626 тыс. руб. и составил 29 818 тыс. руб. </w:t>
      </w:r>
    </w:p>
    <w:p w14:paraId="7436EC8A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Объем субвенций увеличен на 9 108 тыс. руб. и составил 239 204 тыс. руб.</w:t>
      </w:r>
    </w:p>
    <w:p w14:paraId="7A1D6B9B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Объем субсидий увеличен на 55 484 тыс. руб. и составил 67 009 тыс. руб.</w:t>
      </w:r>
    </w:p>
    <w:p w14:paraId="55B614B7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В целях исполнения принятых обязательств и обеспечения устойчивости бюджетной системы разработан, и реализуется план мероприятий по повышению поступлений налоговых и неналоговых доходов, эффективности бюджетных расходов, сокращению просроченной кредиторской задолженности. Экономический эффект от реализации плановых мероприятий за отчетный период составил 6286,7 тыс. руб.</w:t>
      </w:r>
    </w:p>
    <w:p w14:paraId="4545909D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b/>
        </w:rPr>
        <w:t>Расходы</w:t>
      </w:r>
      <w:r w:rsidRPr="00214ABE">
        <w:t xml:space="preserve"> бюджета муниципального района за отчетный период увеличены к уровню прошлого года на 91 802 тыс. руб. и составили 513 331 тыс. руб. Годовой план исполнен на 58,6%. </w:t>
      </w:r>
    </w:p>
    <w:p w14:paraId="18C9B29A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Приоритетным направлением в расходовании бюджетных средств является финансирование отраслей социально-культурной сферы: образование, культура, спорт, социальная политика. Удельный вес расходов социально-культурного блока составил 89,4% от </w:t>
      </w:r>
      <w:r w:rsidRPr="00214ABE">
        <w:lastRenderedPageBreak/>
        <w:t>общего объема расходов бюджета, на эти цели направлено 458 662 тыс. рублей, что на 84 133 тыс. рублей выше АППГ.</w:t>
      </w:r>
    </w:p>
    <w:p w14:paraId="0CD57013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>Расходы по общегосударственным вопросам</w:t>
      </w:r>
      <w:r w:rsidRPr="00214ABE">
        <w:t xml:space="preserve"> исполнены в объеме 36 316 тыс. руб., что на 5 494 тыс. руб. или на 17,8% выше АППГ. Годовой план исполнен на 54,8%.</w:t>
      </w:r>
    </w:p>
    <w:p w14:paraId="7339503B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На содержание многофункционального центра для оказания государственных и муниципальных услуг направлено 3 857 тыс. руб., что на 339тыс. руб. или на 9,6% выше АППГ.</w:t>
      </w:r>
    </w:p>
    <w:p w14:paraId="78C7E4A3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На оценку имущества, признание прав и регулирование отношений муниципальной собственности направлено 91,3 тыс. руб., что на 206 тыс. руб.  меньше АППГ.</w:t>
      </w:r>
    </w:p>
    <w:p w14:paraId="279B2F23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>Расходы по отрасли «Национальная экономика»</w:t>
      </w:r>
      <w:r w:rsidRPr="00214ABE">
        <w:t xml:space="preserve"> составили 9 274 тыс. руб., что на 1 875 тыс. руб. ниже АППГ, годовой план исполнен на 27,9%. </w:t>
      </w:r>
    </w:p>
    <w:p w14:paraId="076C172D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На обеспечение пассажирских перевозок жителей района направлено 5 038 тыс. руб., что на 653 тыс. рублей ниже АППГ, годовой план исполнен на 55%.</w:t>
      </w:r>
    </w:p>
    <w:p w14:paraId="58C1DB6F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На содержание дорог в сельских населенных пунктах направлено 3 824тыс. руб., что на 830 тыс. руб. или на 17,8% ниже АППГ. Расходы дорожного фонда осуществлены в объеме выполненных работ, заявленном ОМСУ сельских поселений.</w:t>
      </w:r>
    </w:p>
    <w:p w14:paraId="200C131C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>Расходы по отрасли «Жилищно-коммунальное хозяйство»</w:t>
      </w:r>
      <w:r w:rsidRPr="00214ABE">
        <w:t xml:space="preserve"> исполнены в размере 890 тыс. рублей, что на 752 тыс. руб. выше АППГ. Рост расходов за счет получения межбюджетных трансфертов из областного бюджета на проведение мероприятий, связанных с обеспечением безопасности населения.</w:t>
      </w:r>
    </w:p>
    <w:p w14:paraId="0A45CE3A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Расходы на проведение мероприятий по охране окружающей среды в отчетном периоде не производились.</w:t>
      </w:r>
    </w:p>
    <w:p w14:paraId="33052B43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>Расходы на образование</w:t>
      </w:r>
      <w:r w:rsidRPr="00214ABE">
        <w:t xml:space="preserve"> исполнены в объеме 377 082 тыс. руб., что на 77 735 тыс. руб. или на 26% выше АППГ. Годовой план исполнен на 67,4%. В структуре расходов бюджета в целом затраты на образование составляют наибольшую долю – 74%. </w:t>
      </w:r>
    </w:p>
    <w:p w14:paraId="685978E9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На обеспечение дошкольного образования направлено 67 003 тыс. руб., что на 3 776 тыс. руб. или на 6% выше АППГ. Рост расходов в связи с ростом целевых показателей по заработной плате по сравнению с 2024 (112,4%).</w:t>
      </w:r>
    </w:p>
    <w:p w14:paraId="4B807F1A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На обеспечение общего образования направлено 264 763,7 тыс. руб., что на 67 622 тыс. руб. или на 34% выше АППГ и, в основном, обусловлено проведением в отчетном периоде работ по капитальному ремонту Пролысовской СОШ (56 200 тыс. руб.), организацией бесплатного питания школьников из многодетных семей (3 535 руб.), а также в связи с ростом целевых показателей по заработной плате по сравнению с 2024 (109,6%).</w:t>
      </w:r>
    </w:p>
    <w:p w14:paraId="1B98D6F9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>Расходы на обеспечение МБУ ДО «Навлинская ДШИ» составили 12 396 тыс. руб., что на 2 200 тыс. руб. или на 22% выше АППГ. Рост расходов связан, в основном, с ростом целевых показателей по заработной плате по сравнению с 2024 (111,1%).</w:t>
      </w:r>
    </w:p>
    <w:p w14:paraId="517BCFB8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>Расходы по отрасли «Культура»</w:t>
      </w:r>
      <w:r w:rsidRPr="00214ABE">
        <w:t xml:space="preserve"> составили 33 199 тыс. руб., что на 5 524 тыс. руб. или на 20% выше АППГ. Годовой план исполнен на 69,3%. Рост расходов в связи с ростом целевых показателей по заработной плате по сравнению с 2024 (115,2%).</w:t>
      </w:r>
    </w:p>
    <w:p w14:paraId="15DCA7B4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 На обеспечение деятельности межпоселенческой библиотеки направлено 13 884,3 тыс. руб., районного Дома культуры – 16 121,9 тыс. руб., в том числе расходы за счет средств областного бюджета на проведение мероприятий, связанных с обеспечением безопасности населения, в сумме 2 388,6 тыс. руб.</w:t>
      </w:r>
    </w:p>
    <w:p w14:paraId="4D1A6068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 xml:space="preserve">По отрасли «Социальная политика» </w:t>
      </w:r>
      <w:r w:rsidRPr="00214ABE">
        <w:t xml:space="preserve">расходы исполнены в объеме 36 849 тыс. руб., что на 4 131 тыс. руб. или на 10% ниже АППГ. Годовой план исполнен на 26,9%. В структуре расходов бюджета в целом затраты на социальную политику составили 7,2%. </w:t>
      </w:r>
    </w:p>
    <w:p w14:paraId="07F16295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На мероприятия по охране семьи и детства направлено 32 786 тыс. руб., что на 5 458 тыс. руб. или на 14,3% менее АППГ. Уменьшение объема расходов на обеспечение жилыми </w:t>
      </w:r>
      <w:r w:rsidRPr="00214ABE">
        <w:lastRenderedPageBreak/>
        <w:t>помещениями детей-сирот объясняется тем, что сроки оплаты контрактов по приобретению жилья – 4 квартал 2025.</w:t>
      </w:r>
    </w:p>
    <w:p w14:paraId="525F97B7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t xml:space="preserve"> Расходы на выплату пенсии муниципальным служащим составили 2 946,6 тыс. руб., что на 241 тыс. руб. или на 9% выше АППГ в связи с увеличением количества получателей.  </w:t>
      </w:r>
    </w:p>
    <w:p w14:paraId="384C1A0D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>На мероприятия в сфере физической культуры и спорта</w:t>
      </w:r>
      <w:r w:rsidRPr="00214ABE">
        <w:t xml:space="preserve"> направлено 11 532 тыс. рублей, что на 5 005 тыс. руб. или в 2 раза выше АППГ, увеличение в связи окончанием ремонта и оплатой выполненных работ в сумме 4 496 тыс. руб. Годовой план исполнен на 67,3%. В отчетном периоде по данному разделу отражены расходы на содержание спортивной школы в сумме 11 257 тыс. руб.</w:t>
      </w:r>
    </w:p>
    <w:p w14:paraId="5A904501" w14:textId="77777777" w:rsidR="00214ABE" w:rsidRPr="00214ABE" w:rsidRDefault="00214ABE" w:rsidP="00214ABE">
      <w:pPr>
        <w:spacing w:line="276" w:lineRule="auto"/>
        <w:ind w:firstLine="567"/>
        <w:jc w:val="both"/>
      </w:pPr>
      <w:r w:rsidRPr="00214ABE">
        <w:rPr>
          <w:i/>
        </w:rPr>
        <w:t>Объем межбюджетных трансфертов бюджетам поселений</w:t>
      </w:r>
      <w:r w:rsidRPr="00214ABE">
        <w:t xml:space="preserve"> составил 4 935 тыс. руб., что на 2 921 тыс. руб. или в 2 раза выше АППГ. Годовой план исполнен на 80,2%. В структуре расходов бюджета в целом затраты составляют 1%.  </w:t>
      </w:r>
    </w:p>
    <w:p w14:paraId="286631AB" w14:textId="27796A0B" w:rsidR="004E2669" w:rsidRPr="004E2669" w:rsidRDefault="004E2669" w:rsidP="00232F94">
      <w:pPr>
        <w:spacing w:line="276" w:lineRule="auto"/>
        <w:ind w:firstLine="567"/>
        <w:jc w:val="both"/>
      </w:pPr>
      <w:r w:rsidRPr="004E2669">
        <w:t xml:space="preserve">За отчетный период исполнение бюджета осуществлялось в рамках </w:t>
      </w:r>
      <w:r w:rsidR="00232F94">
        <w:t>шести</w:t>
      </w:r>
      <w:r w:rsidRPr="004E2669">
        <w:t xml:space="preserve"> муниципальных программ</w:t>
      </w:r>
      <w:r w:rsidR="00232F94">
        <w:t>, ф</w:t>
      </w:r>
      <w:r w:rsidR="00232F94" w:rsidRPr="004E2669">
        <w:t xml:space="preserve">инансирование программных мероприятий составило </w:t>
      </w:r>
      <w:r w:rsidR="00214ABE" w:rsidRPr="00214ABE">
        <w:t xml:space="preserve">507 071 </w:t>
      </w:r>
      <w:r w:rsidR="00232F94" w:rsidRPr="004E2669">
        <w:t xml:space="preserve">тыс. руб. или 98,8% всех расходов бюджета. </w:t>
      </w:r>
    </w:p>
    <w:p w14:paraId="535D6C9B" w14:textId="5968B0FE" w:rsidR="004E2669" w:rsidRPr="004E2669" w:rsidRDefault="004E2669" w:rsidP="004E2669">
      <w:pPr>
        <w:spacing w:line="276" w:lineRule="auto"/>
        <w:ind w:firstLine="567"/>
        <w:jc w:val="both"/>
      </w:pPr>
      <w:r w:rsidRPr="004E2669">
        <w:t>Кредиторской задолженности по состоянию на 01.</w:t>
      </w:r>
      <w:r w:rsidR="00214ABE">
        <w:t>10</w:t>
      </w:r>
      <w:r w:rsidRPr="004E2669">
        <w:t>.2025 года не допущено.</w:t>
      </w:r>
    </w:p>
    <w:p w14:paraId="421C5FA8" w14:textId="7D2AF4BE" w:rsidR="004E2669" w:rsidRPr="004E2669" w:rsidRDefault="004E2669" w:rsidP="004E2669">
      <w:pPr>
        <w:spacing w:line="276" w:lineRule="auto"/>
        <w:ind w:firstLine="567"/>
        <w:jc w:val="both"/>
      </w:pPr>
      <w:r w:rsidRPr="004E2669">
        <w:t>Муниципальный долг по состоянию на 01.</w:t>
      </w:r>
      <w:r w:rsidR="00214ABE">
        <w:t>10</w:t>
      </w:r>
      <w:r w:rsidRPr="004E2669">
        <w:t xml:space="preserve">.2025 года отсутствует, муниципальные гарантии не предоставлялись. </w:t>
      </w:r>
    </w:p>
    <w:p w14:paraId="62E336E7" w14:textId="585A7182" w:rsidR="00280E8C" w:rsidRPr="009C3E49" w:rsidRDefault="001126E8" w:rsidP="00812D4C">
      <w:pPr>
        <w:spacing w:before="240" w:line="276" w:lineRule="auto"/>
        <w:ind w:firstLine="567"/>
        <w:jc w:val="both"/>
      </w:pPr>
      <w:r>
        <w:t>Р</w:t>
      </w:r>
      <w:r w:rsidR="00280E8C" w:rsidRPr="009C3E49">
        <w:t xml:space="preserve">ассмотрев итоги исполнения бюджета </w:t>
      </w:r>
      <w:r w:rsidR="00280E8C" w:rsidRPr="00791AAA">
        <w:t>Навлинского муниципального района Брянской области</w:t>
      </w:r>
      <w:r w:rsidR="00280E8C" w:rsidRPr="009C3E49">
        <w:t xml:space="preserve"> за </w:t>
      </w:r>
      <w:bookmarkStart w:id="6" w:name="_Hlk212019921"/>
      <w:r w:rsidR="00214ABE">
        <w:t>9 месяцев</w:t>
      </w:r>
      <w:r w:rsidR="00280E8C" w:rsidRPr="009C3E49">
        <w:t xml:space="preserve"> </w:t>
      </w:r>
      <w:bookmarkEnd w:id="6"/>
      <w:r w:rsidR="00280E8C" w:rsidRPr="009C3E49">
        <w:t>20</w:t>
      </w:r>
      <w:r w:rsidR="00280E8C">
        <w:t>2</w:t>
      </w:r>
      <w:r w:rsidR="002A1715">
        <w:t>5</w:t>
      </w:r>
      <w:r w:rsidR="00280E8C" w:rsidRPr="009C3E49">
        <w:t xml:space="preserve"> года, коллегия при главе администрации района</w:t>
      </w:r>
    </w:p>
    <w:p w14:paraId="30B41E54" w14:textId="77777777" w:rsidR="007F47F2" w:rsidRPr="009C3E49" w:rsidRDefault="007F47F2" w:rsidP="002A0617">
      <w:pPr>
        <w:spacing w:before="240" w:line="276" w:lineRule="auto"/>
        <w:ind w:firstLine="567"/>
        <w:jc w:val="both"/>
      </w:pPr>
      <w:r w:rsidRPr="009C3E49">
        <w:t>РЕШИЛА:</w:t>
      </w:r>
    </w:p>
    <w:p w14:paraId="08FC5529" w14:textId="51407ACE" w:rsidR="007F47F2" w:rsidRPr="009C3E49" w:rsidRDefault="007F47F2" w:rsidP="00777148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9C3E49">
        <w:t xml:space="preserve">Отчет </w:t>
      </w:r>
      <w:r w:rsidR="00405AB8" w:rsidRPr="00405AB8">
        <w:t xml:space="preserve">заместителя главы администрации района, начальника финансового управления администрации района Сонных Т.А. </w:t>
      </w:r>
      <w:r w:rsidRPr="009C3E49">
        <w:t>«Об исполнении бюджета Навлинск</w:t>
      </w:r>
      <w:r w:rsidR="00294182">
        <w:t>ого муниципального района Брянской области</w:t>
      </w:r>
      <w:r w:rsidRPr="009C3E49">
        <w:t xml:space="preserve">» за </w:t>
      </w:r>
      <w:r w:rsidR="00214ABE" w:rsidRPr="00214ABE">
        <w:t xml:space="preserve">9 месяцев </w:t>
      </w:r>
      <w:r w:rsidRPr="009C3E49">
        <w:t>20</w:t>
      </w:r>
      <w:r w:rsidR="00294182">
        <w:t>2</w:t>
      </w:r>
      <w:r w:rsidR="002A1715">
        <w:t>5</w:t>
      </w:r>
      <w:r w:rsidRPr="009C3E49">
        <w:t xml:space="preserve"> год</w:t>
      </w:r>
      <w:r w:rsidR="00FF3750" w:rsidRPr="009C3E49">
        <w:t>а</w:t>
      </w:r>
      <w:r w:rsidRPr="009C3E49">
        <w:t>» принять к сведению.</w:t>
      </w:r>
    </w:p>
    <w:p w14:paraId="535BB4CC" w14:textId="4B2F2A5C" w:rsidR="007F47F2" w:rsidRPr="009C3E49" w:rsidRDefault="007F47F2" w:rsidP="009C3E49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</w:pPr>
      <w:r w:rsidRPr="009C3E49">
        <w:t xml:space="preserve">Администрации Навлинского района в срок до 15 </w:t>
      </w:r>
      <w:r w:rsidR="00214ABE">
        <w:t>ноября</w:t>
      </w:r>
      <w:r w:rsidRPr="009C3E49">
        <w:t xml:space="preserve"> направить отчет об исполнении бюджета за </w:t>
      </w:r>
      <w:r w:rsidR="00214ABE" w:rsidRPr="00214ABE">
        <w:t xml:space="preserve">9 месяцев </w:t>
      </w:r>
      <w:r w:rsidRPr="009C3E49">
        <w:t>20</w:t>
      </w:r>
      <w:r w:rsidR="00EC2B60">
        <w:t>2</w:t>
      </w:r>
      <w:r w:rsidR="002A1715">
        <w:t>5</w:t>
      </w:r>
      <w:r w:rsidRPr="009C3E49">
        <w:t xml:space="preserve"> года в </w:t>
      </w:r>
      <w:r w:rsidR="00C03155" w:rsidRPr="009C3E49">
        <w:t xml:space="preserve">Навлинский </w:t>
      </w:r>
      <w:r w:rsidRPr="009C3E49">
        <w:t>ра</w:t>
      </w:r>
      <w:r w:rsidR="008020B8" w:rsidRPr="009C3E49">
        <w:t>йонный Совет народных депутатов</w:t>
      </w:r>
      <w:r w:rsidR="00F55464" w:rsidRPr="009C3E49">
        <w:t xml:space="preserve"> и Контрольно-счетную палату Навлинского</w:t>
      </w:r>
      <w:r w:rsidR="00FD6E21">
        <w:t xml:space="preserve"> муниципального</w:t>
      </w:r>
      <w:r w:rsidR="00F55464" w:rsidRPr="009C3E49">
        <w:t xml:space="preserve"> района</w:t>
      </w:r>
      <w:r w:rsidRPr="009C3E49">
        <w:t>.</w:t>
      </w:r>
    </w:p>
    <w:p w14:paraId="0033EB14" w14:textId="7F664F72" w:rsidR="007F47F2" w:rsidRPr="009C3E49" w:rsidRDefault="007F47F2" w:rsidP="009C3E49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</w:pPr>
      <w:r w:rsidRPr="009C3E49">
        <w:t>Администраторам доходов бюджета района принять меры по обеспечению выполнения плановых назначений на 20</w:t>
      </w:r>
      <w:r w:rsidR="00EC2B60">
        <w:t>2</w:t>
      </w:r>
      <w:r w:rsidR="002A1715">
        <w:t>5</w:t>
      </w:r>
      <w:r w:rsidRPr="009C3E49">
        <w:t xml:space="preserve"> год по администрируемым налог</w:t>
      </w:r>
      <w:r w:rsidR="00BE60AE">
        <w:t xml:space="preserve">овым и неналоговым </w:t>
      </w:r>
      <w:r w:rsidRPr="009C3E49">
        <w:t xml:space="preserve">платежам, сокращению задолженности по </w:t>
      </w:r>
      <w:r w:rsidR="00BE60AE">
        <w:t>администрируемым платежам</w:t>
      </w:r>
      <w:r w:rsidRPr="009C3E49">
        <w:t>.</w:t>
      </w:r>
    </w:p>
    <w:p w14:paraId="663C16D5" w14:textId="77777777" w:rsidR="00BE60AE" w:rsidRDefault="007F47F2" w:rsidP="00BE60A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</w:pPr>
      <w:r w:rsidRPr="009C3E49">
        <w:t>Главным распорядителям средств местного бюджета</w:t>
      </w:r>
      <w:r w:rsidR="00A561E2">
        <w:t xml:space="preserve"> о</w:t>
      </w:r>
      <w:r w:rsidR="00F20E50" w:rsidRPr="009C3E49">
        <w:t xml:space="preserve">беспечить </w:t>
      </w:r>
      <w:r w:rsidR="00A561E2">
        <w:t>эффективность расходования бюджетных средств, достижение результативности программных мероприятий.</w:t>
      </w:r>
    </w:p>
    <w:p w14:paraId="5EF3D175" w14:textId="726626E7" w:rsidR="00BE60AE" w:rsidRDefault="00E840B8" w:rsidP="00BE60A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</w:pPr>
      <w:r>
        <w:t>Снять с контроля р</w:t>
      </w:r>
      <w:r w:rsidRPr="00660AC7">
        <w:t xml:space="preserve">ешение коллегии при Главе администрации Навлинского района от </w:t>
      </w:r>
      <w:r>
        <w:t>2</w:t>
      </w:r>
      <w:r w:rsidR="00A04CF4">
        <w:t>8</w:t>
      </w:r>
      <w:r>
        <w:t>.0</w:t>
      </w:r>
      <w:r w:rsidR="00214ABE">
        <w:t>7</w:t>
      </w:r>
      <w:r>
        <w:t>.202</w:t>
      </w:r>
      <w:r w:rsidR="00214ABE">
        <w:t>5</w:t>
      </w:r>
      <w:r>
        <w:t xml:space="preserve"> </w:t>
      </w:r>
      <w:r w:rsidRPr="009C3E49">
        <w:t>№</w:t>
      </w:r>
      <w:r w:rsidR="00214ABE">
        <w:t>7</w:t>
      </w:r>
      <w:r>
        <w:t xml:space="preserve">/1 </w:t>
      </w:r>
      <w:r w:rsidRPr="00660AC7">
        <w:t xml:space="preserve">«Об исполнении бюджета </w:t>
      </w:r>
      <w:r w:rsidR="00812D4C" w:rsidRPr="00812D4C">
        <w:t xml:space="preserve">Навлинского муниципального района Брянской области </w:t>
      </w:r>
      <w:r>
        <w:t xml:space="preserve">за </w:t>
      </w:r>
      <w:r w:rsidR="00214ABE" w:rsidRPr="00214ABE">
        <w:t xml:space="preserve">9 месяцев </w:t>
      </w:r>
      <w:r w:rsidRPr="00660AC7">
        <w:t>20</w:t>
      </w:r>
      <w:r w:rsidR="00791AAA">
        <w:t>2</w:t>
      </w:r>
      <w:r w:rsidR="00A04CF4">
        <w:t>5</w:t>
      </w:r>
      <w:r w:rsidRPr="00660AC7">
        <w:t xml:space="preserve"> год</w:t>
      </w:r>
      <w:r w:rsidR="00A04CF4">
        <w:t>а</w:t>
      </w:r>
      <w:r w:rsidRPr="00660AC7">
        <w:t>».</w:t>
      </w:r>
    </w:p>
    <w:p w14:paraId="64799FBE" w14:textId="4AB75CC1" w:rsidR="007F47F2" w:rsidRPr="009C3E49" w:rsidRDefault="007F47F2" w:rsidP="00BE60A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</w:pPr>
      <w:r w:rsidRPr="009C3E49">
        <w:t>Контроль исполнения данного решения возложить на заместителя главы администрации района</w:t>
      </w:r>
      <w:r w:rsidR="00791AAA">
        <w:t xml:space="preserve">, </w:t>
      </w:r>
      <w:r w:rsidR="00791AAA" w:rsidRPr="00791AAA">
        <w:t>начальника финансового управления администрации района</w:t>
      </w:r>
      <w:r w:rsidRPr="009C3E49">
        <w:t xml:space="preserve"> Т.А. Сонных.</w:t>
      </w:r>
    </w:p>
    <w:p w14:paraId="205E116C" w14:textId="77777777" w:rsidR="0004036A" w:rsidRDefault="0004036A" w:rsidP="009C3E49">
      <w:pPr>
        <w:spacing w:line="276" w:lineRule="auto"/>
      </w:pPr>
    </w:p>
    <w:p w14:paraId="0AF4595F" w14:textId="201F9B13" w:rsidR="00BB2E07" w:rsidRDefault="00332D11" w:rsidP="00BB2E07">
      <w:pPr>
        <w:spacing w:line="276" w:lineRule="auto"/>
        <w:jc w:val="right"/>
      </w:pPr>
      <w:r>
        <w:t>И.О. г</w:t>
      </w:r>
      <w:r w:rsidR="000B081B" w:rsidRPr="009C3E49">
        <w:t>лав</w:t>
      </w:r>
      <w:r>
        <w:t>ы</w:t>
      </w:r>
      <w:r w:rsidR="000B081B" w:rsidRPr="009C3E49">
        <w:t xml:space="preserve"> администрации Навлинского</w:t>
      </w:r>
      <w:r w:rsidR="00BB2E07">
        <w:t xml:space="preserve"> </w:t>
      </w:r>
      <w:r w:rsidR="00F76584" w:rsidRPr="009C3E49">
        <w:t xml:space="preserve">района, </w:t>
      </w:r>
    </w:p>
    <w:p w14:paraId="58C27E11" w14:textId="77777777" w:rsidR="00BB2E07" w:rsidRDefault="000B081B" w:rsidP="00BB2E07">
      <w:pPr>
        <w:spacing w:line="276" w:lineRule="auto"/>
        <w:jc w:val="right"/>
      </w:pPr>
      <w:r w:rsidRPr="009C3E49">
        <w:t>председатель коллегии</w:t>
      </w:r>
    </w:p>
    <w:p w14:paraId="6BE752FD" w14:textId="6631D9F9" w:rsidR="00E840B8" w:rsidRDefault="000B081B" w:rsidP="00BB2E07">
      <w:pPr>
        <w:spacing w:line="276" w:lineRule="auto"/>
        <w:jc w:val="right"/>
      </w:pPr>
      <w:r w:rsidRPr="009C3E49">
        <w:t xml:space="preserve">                      </w:t>
      </w:r>
      <w:r w:rsidR="00332D11">
        <w:t>А.И. Сторожук</w:t>
      </w:r>
    </w:p>
    <w:sectPr w:rsidR="00E840B8" w:rsidSect="0004036A">
      <w:footerReference w:type="default" r:id="rId8"/>
      <w:type w:val="continuous"/>
      <w:pgSz w:w="11906" w:h="16838" w:code="9"/>
      <w:pgMar w:top="851" w:right="567" w:bottom="567" w:left="158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32F0" w14:textId="77777777" w:rsidR="00D44FF6" w:rsidRDefault="00D44FF6" w:rsidP="000B081B">
      <w:r>
        <w:separator/>
      </w:r>
    </w:p>
  </w:endnote>
  <w:endnote w:type="continuationSeparator" w:id="0">
    <w:p w14:paraId="39370B56" w14:textId="77777777" w:rsidR="00D44FF6" w:rsidRDefault="00D44FF6" w:rsidP="000B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964367"/>
      <w:docPartObj>
        <w:docPartGallery w:val="Page Numbers (Bottom of Page)"/>
        <w:docPartUnique/>
      </w:docPartObj>
    </w:sdtPr>
    <w:sdtContent>
      <w:p w14:paraId="0319D893" w14:textId="77777777" w:rsidR="000B081B" w:rsidRDefault="000B08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E07">
          <w:rPr>
            <w:noProof/>
          </w:rPr>
          <w:t>1</w:t>
        </w:r>
        <w:r>
          <w:fldChar w:fldCharType="end"/>
        </w:r>
      </w:p>
    </w:sdtContent>
  </w:sdt>
  <w:p w14:paraId="119643BD" w14:textId="77777777" w:rsidR="000B081B" w:rsidRDefault="000B08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FD62" w14:textId="77777777" w:rsidR="00D44FF6" w:rsidRDefault="00D44FF6" w:rsidP="000B081B">
      <w:r>
        <w:separator/>
      </w:r>
    </w:p>
  </w:footnote>
  <w:footnote w:type="continuationSeparator" w:id="0">
    <w:p w14:paraId="42CEB5B3" w14:textId="77777777" w:rsidR="00D44FF6" w:rsidRDefault="00D44FF6" w:rsidP="000B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FC9"/>
    <w:multiLevelType w:val="hybridMultilevel"/>
    <w:tmpl w:val="AD16D424"/>
    <w:lvl w:ilvl="0" w:tplc="10FA9CE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C031CB"/>
    <w:multiLevelType w:val="hybridMultilevel"/>
    <w:tmpl w:val="356A922A"/>
    <w:lvl w:ilvl="0" w:tplc="770EEC70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D6790E"/>
    <w:multiLevelType w:val="hybridMultilevel"/>
    <w:tmpl w:val="A86A9420"/>
    <w:lvl w:ilvl="0" w:tplc="3E9EBB66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D92C02"/>
    <w:multiLevelType w:val="hybridMultilevel"/>
    <w:tmpl w:val="F9500DFC"/>
    <w:lvl w:ilvl="0" w:tplc="36DCE6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0B5"/>
    <w:multiLevelType w:val="hybridMultilevel"/>
    <w:tmpl w:val="BA96ADC4"/>
    <w:lvl w:ilvl="0" w:tplc="F30E0DFC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B93511"/>
    <w:multiLevelType w:val="hybridMultilevel"/>
    <w:tmpl w:val="35AA4A0E"/>
    <w:lvl w:ilvl="0" w:tplc="0CC2C6B8">
      <w:start w:val="1"/>
      <w:numFmt w:val="bullet"/>
      <w:suff w:val="space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7B42DE"/>
    <w:multiLevelType w:val="multilevel"/>
    <w:tmpl w:val="4BBA852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57E814B2"/>
    <w:multiLevelType w:val="hybridMultilevel"/>
    <w:tmpl w:val="4FE0D88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E257EDE"/>
    <w:multiLevelType w:val="hybridMultilevel"/>
    <w:tmpl w:val="D3224BAA"/>
    <w:lvl w:ilvl="0" w:tplc="10FA9CE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8E4210"/>
    <w:multiLevelType w:val="hybridMultilevel"/>
    <w:tmpl w:val="CAE89F2A"/>
    <w:lvl w:ilvl="0" w:tplc="9DC65232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3C284B"/>
    <w:multiLevelType w:val="hybridMultilevel"/>
    <w:tmpl w:val="0AF26B5A"/>
    <w:lvl w:ilvl="0" w:tplc="10FA9CE0">
      <w:start w:val="1"/>
      <w:numFmt w:val="bullet"/>
      <w:lvlText w:val="­"/>
      <w:lvlJc w:val="left"/>
      <w:pPr>
        <w:ind w:left="13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308167925">
    <w:abstractNumId w:val="6"/>
  </w:num>
  <w:num w:numId="2" w16cid:durableId="1566644042">
    <w:abstractNumId w:val="3"/>
  </w:num>
  <w:num w:numId="3" w16cid:durableId="238368385">
    <w:abstractNumId w:val="7"/>
  </w:num>
  <w:num w:numId="4" w16cid:durableId="1925646457">
    <w:abstractNumId w:val="8"/>
  </w:num>
  <w:num w:numId="5" w16cid:durableId="697002729">
    <w:abstractNumId w:val="0"/>
  </w:num>
  <w:num w:numId="6" w16cid:durableId="379674135">
    <w:abstractNumId w:val="5"/>
  </w:num>
  <w:num w:numId="7" w16cid:durableId="112480033">
    <w:abstractNumId w:val="10"/>
  </w:num>
  <w:num w:numId="8" w16cid:durableId="1069959140">
    <w:abstractNumId w:val="2"/>
  </w:num>
  <w:num w:numId="9" w16cid:durableId="1548682259">
    <w:abstractNumId w:val="9"/>
  </w:num>
  <w:num w:numId="10" w16cid:durableId="1692220416">
    <w:abstractNumId w:val="4"/>
  </w:num>
  <w:num w:numId="11" w16cid:durableId="1832990322">
    <w:abstractNumId w:val="1"/>
  </w:num>
  <w:num w:numId="12" w16cid:durableId="57364504">
    <w:abstractNumId w:val="2"/>
  </w:num>
  <w:num w:numId="13" w16cid:durableId="964967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A3"/>
    <w:rsid w:val="00000598"/>
    <w:rsid w:val="00012D21"/>
    <w:rsid w:val="00015F3C"/>
    <w:rsid w:val="00022BA2"/>
    <w:rsid w:val="00036F42"/>
    <w:rsid w:val="00037F65"/>
    <w:rsid w:val="0004036A"/>
    <w:rsid w:val="00040955"/>
    <w:rsid w:val="000534AC"/>
    <w:rsid w:val="00060BE4"/>
    <w:rsid w:val="000638A3"/>
    <w:rsid w:val="00063D23"/>
    <w:rsid w:val="00066E38"/>
    <w:rsid w:val="00072B3D"/>
    <w:rsid w:val="000733E5"/>
    <w:rsid w:val="0008243B"/>
    <w:rsid w:val="00084B6F"/>
    <w:rsid w:val="0008609E"/>
    <w:rsid w:val="000935CE"/>
    <w:rsid w:val="00095213"/>
    <w:rsid w:val="000A099B"/>
    <w:rsid w:val="000A35B2"/>
    <w:rsid w:val="000B081B"/>
    <w:rsid w:val="000B1804"/>
    <w:rsid w:val="000C2D87"/>
    <w:rsid w:val="000C3FEA"/>
    <w:rsid w:val="000C5005"/>
    <w:rsid w:val="000C52FA"/>
    <w:rsid w:val="000D20BE"/>
    <w:rsid w:val="000D4AC3"/>
    <w:rsid w:val="000E5B75"/>
    <w:rsid w:val="000E6897"/>
    <w:rsid w:val="000F00E5"/>
    <w:rsid w:val="000F0503"/>
    <w:rsid w:val="000F27C7"/>
    <w:rsid w:val="000F2AC1"/>
    <w:rsid w:val="000F3B75"/>
    <w:rsid w:val="000F787C"/>
    <w:rsid w:val="00102BF7"/>
    <w:rsid w:val="001071A2"/>
    <w:rsid w:val="001126E8"/>
    <w:rsid w:val="00121368"/>
    <w:rsid w:val="001219AD"/>
    <w:rsid w:val="00122E3B"/>
    <w:rsid w:val="001255D6"/>
    <w:rsid w:val="00130714"/>
    <w:rsid w:val="001342FB"/>
    <w:rsid w:val="0013556D"/>
    <w:rsid w:val="00136B64"/>
    <w:rsid w:val="0013712A"/>
    <w:rsid w:val="00141080"/>
    <w:rsid w:val="00145391"/>
    <w:rsid w:val="0014639D"/>
    <w:rsid w:val="00156BA9"/>
    <w:rsid w:val="00160BEB"/>
    <w:rsid w:val="00166B6B"/>
    <w:rsid w:val="00171294"/>
    <w:rsid w:val="001717B8"/>
    <w:rsid w:val="00175570"/>
    <w:rsid w:val="00177B37"/>
    <w:rsid w:val="001800C4"/>
    <w:rsid w:val="00183D87"/>
    <w:rsid w:val="00195295"/>
    <w:rsid w:val="00196CF7"/>
    <w:rsid w:val="00197102"/>
    <w:rsid w:val="001A7D23"/>
    <w:rsid w:val="001B4166"/>
    <w:rsid w:val="001C38C0"/>
    <w:rsid w:val="001D0938"/>
    <w:rsid w:val="001D281F"/>
    <w:rsid w:val="001D3D78"/>
    <w:rsid w:val="001D6BB4"/>
    <w:rsid w:val="001E0448"/>
    <w:rsid w:val="001E0CEE"/>
    <w:rsid w:val="001E14AF"/>
    <w:rsid w:val="001E2185"/>
    <w:rsid w:val="001E41ED"/>
    <w:rsid w:val="001E5DC9"/>
    <w:rsid w:val="001E7F62"/>
    <w:rsid w:val="001F12A1"/>
    <w:rsid w:val="00202961"/>
    <w:rsid w:val="00210828"/>
    <w:rsid w:val="00210FB1"/>
    <w:rsid w:val="00214ABE"/>
    <w:rsid w:val="00214C6F"/>
    <w:rsid w:val="00217C20"/>
    <w:rsid w:val="002206B6"/>
    <w:rsid w:val="00224371"/>
    <w:rsid w:val="00232E28"/>
    <w:rsid w:val="00232F94"/>
    <w:rsid w:val="0023317D"/>
    <w:rsid w:val="00233247"/>
    <w:rsid w:val="0023369E"/>
    <w:rsid w:val="002336F7"/>
    <w:rsid w:val="002349F8"/>
    <w:rsid w:val="00244226"/>
    <w:rsid w:val="00245E97"/>
    <w:rsid w:val="002460EE"/>
    <w:rsid w:val="00247CEC"/>
    <w:rsid w:val="002539E6"/>
    <w:rsid w:val="002560A3"/>
    <w:rsid w:val="002579D9"/>
    <w:rsid w:val="00262699"/>
    <w:rsid w:val="002664DB"/>
    <w:rsid w:val="0027052D"/>
    <w:rsid w:val="002715AA"/>
    <w:rsid w:val="00274196"/>
    <w:rsid w:val="00275BB6"/>
    <w:rsid w:val="00280E8C"/>
    <w:rsid w:val="00294182"/>
    <w:rsid w:val="00294EE9"/>
    <w:rsid w:val="002A0617"/>
    <w:rsid w:val="002A1715"/>
    <w:rsid w:val="002A7F74"/>
    <w:rsid w:val="002B15DB"/>
    <w:rsid w:val="002B2745"/>
    <w:rsid w:val="002B37BD"/>
    <w:rsid w:val="002B3B7D"/>
    <w:rsid w:val="002B3D55"/>
    <w:rsid w:val="002C2735"/>
    <w:rsid w:val="002C34D3"/>
    <w:rsid w:val="002C7A82"/>
    <w:rsid w:val="002D01C2"/>
    <w:rsid w:val="002D05AA"/>
    <w:rsid w:val="002D078D"/>
    <w:rsid w:val="002D52F6"/>
    <w:rsid w:val="002D6207"/>
    <w:rsid w:val="002D72E7"/>
    <w:rsid w:val="002F1426"/>
    <w:rsid w:val="002F4908"/>
    <w:rsid w:val="002F7E19"/>
    <w:rsid w:val="003042EA"/>
    <w:rsid w:val="003079ED"/>
    <w:rsid w:val="00313FA8"/>
    <w:rsid w:val="003209B7"/>
    <w:rsid w:val="00323EEE"/>
    <w:rsid w:val="00332D11"/>
    <w:rsid w:val="003368B0"/>
    <w:rsid w:val="00343352"/>
    <w:rsid w:val="00350500"/>
    <w:rsid w:val="003551B5"/>
    <w:rsid w:val="00355959"/>
    <w:rsid w:val="003565EA"/>
    <w:rsid w:val="003607F1"/>
    <w:rsid w:val="003662E7"/>
    <w:rsid w:val="003672B7"/>
    <w:rsid w:val="00370AAD"/>
    <w:rsid w:val="00374296"/>
    <w:rsid w:val="003760CC"/>
    <w:rsid w:val="0038419E"/>
    <w:rsid w:val="00385563"/>
    <w:rsid w:val="00386052"/>
    <w:rsid w:val="00386255"/>
    <w:rsid w:val="00390835"/>
    <w:rsid w:val="00392A91"/>
    <w:rsid w:val="00394A51"/>
    <w:rsid w:val="003A0B15"/>
    <w:rsid w:val="003A4EEC"/>
    <w:rsid w:val="003A7ACE"/>
    <w:rsid w:val="003B707D"/>
    <w:rsid w:val="003B7EB8"/>
    <w:rsid w:val="003C0166"/>
    <w:rsid w:val="003C0DA8"/>
    <w:rsid w:val="003C61B5"/>
    <w:rsid w:val="003C6B9C"/>
    <w:rsid w:val="003D2D29"/>
    <w:rsid w:val="003D7DED"/>
    <w:rsid w:val="003E0ED3"/>
    <w:rsid w:val="003E77D4"/>
    <w:rsid w:val="003F3AD9"/>
    <w:rsid w:val="004028A7"/>
    <w:rsid w:val="004056FA"/>
    <w:rsid w:val="00405AB8"/>
    <w:rsid w:val="00405F3F"/>
    <w:rsid w:val="004078EA"/>
    <w:rsid w:val="00407BEB"/>
    <w:rsid w:val="004136FA"/>
    <w:rsid w:val="00415DD9"/>
    <w:rsid w:val="00420C20"/>
    <w:rsid w:val="0042253C"/>
    <w:rsid w:val="00424A4C"/>
    <w:rsid w:val="00427A0A"/>
    <w:rsid w:val="00427FD6"/>
    <w:rsid w:val="0043758B"/>
    <w:rsid w:val="00446AF8"/>
    <w:rsid w:val="00453F4E"/>
    <w:rsid w:val="00456A29"/>
    <w:rsid w:val="00460358"/>
    <w:rsid w:val="0046176E"/>
    <w:rsid w:val="00465764"/>
    <w:rsid w:val="00466903"/>
    <w:rsid w:val="0047086F"/>
    <w:rsid w:val="00491F5D"/>
    <w:rsid w:val="0049238B"/>
    <w:rsid w:val="004948FE"/>
    <w:rsid w:val="00496F4D"/>
    <w:rsid w:val="004A1B3D"/>
    <w:rsid w:val="004A2D09"/>
    <w:rsid w:val="004A328B"/>
    <w:rsid w:val="004A6CEF"/>
    <w:rsid w:val="004B4CB0"/>
    <w:rsid w:val="004B4FB2"/>
    <w:rsid w:val="004B54CC"/>
    <w:rsid w:val="004C1160"/>
    <w:rsid w:val="004C2004"/>
    <w:rsid w:val="004C471A"/>
    <w:rsid w:val="004D7B90"/>
    <w:rsid w:val="004E2669"/>
    <w:rsid w:val="004F7FC9"/>
    <w:rsid w:val="00520FD2"/>
    <w:rsid w:val="0052258A"/>
    <w:rsid w:val="00532C2A"/>
    <w:rsid w:val="005407FB"/>
    <w:rsid w:val="00544129"/>
    <w:rsid w:val="005442AB"/>
    <w:rsid w:val="00550B25"/>
    <w:rsid w:val="00554D13"/>
    <w:rsid w:val="00561737"/>
    <w:rsid w:val="0057210D"/>
    <w:rsid w:val="00572C3B"/>
    <w:rsid w:val="00573127"/>
    <w:rsid w:val="00575D0C"/>
    <w:rsid w:val="00576106"/>
    <w:rsid w:val="00576698"/>
    <w:rsid w:val="0058207B"/>
    <w:rsid w:val="00582821"/>
    <w:rsid w:val="00583B7D"/>
    <w:rsid w:val="00584C71"/>
    <w:rsid w:val="00584F71"/>
    <w:rsid w:val="005851C0"/>
    <w:rsid w:val="00587173"/>
    <w:rsid w:val="0059011F"/>
    <w:rsid w:val="005A5B69"/>
    <w:rsid w:val="005B0C06"/>
    <w:rsid w:val="005B3AF2"/>
    <w:rsid w:val="005C17E8"/>
    <w:rsid w:val="005E738B"/>
    <w:rsid w:val="005E7972"/>
    <w:rsid w:val="005F33DE"/>
    <w:rsid w:val="005F3405"/>
    <w:rsid w:val="005F3F08"/>
    <w:rsid w:val="005F4C11"/>
    <w:rsid w:val="005F67F1"/>
    <w:rsid w:val="006071D4"/>
    <w:rsid w:val="0061052B"/>
    <w:rsid w:val="00616C1C"/>
    <w:rsid w:val="00623B38"/>
    <w:rsid w:val="00623C09"/>
    <w:rsid w:val="006260E2"/>
    <w:rsid w:val="006271A6"/>
    <w:rsid w:val="006301E6"/>
    <w:rsid w:val="00633563"/>
    <w:rsid w:val="00636B9C"/>
    <w:rsid w:val="00637C8F"/>
    <w:rsid w:val="006450E9"/>
    <w:rsid w:val="00647305"/>
    <w:rsid w:val="0065316C"/>
    <w:rsid w:val="00660272"/>
    <w:rsid w:val="00666086"/>
    <w:rsid w:val="00670E27"/>
    <w:rsid w:val="006724B9"/>
    <w:rsid w:val="00681400"/>
    <w:rsid w:val="00683909"/>
    <w:rsid w:val="00684B85"/>
    <w:rsid w:val="0068728E"/>
    <w:rsid w:val="006A5AF7"/>
    <w:rsid w:val="006B20D9"/>
    <w:rsid w:val="006B4E70"/>
    <w:rsid w:val="006B57BE"/>
    <w:rsid w:val="006B7F5A"/>
    <w:rsid w:val="006C0985"/>
    <w:rsid w:val="006C0E0F"/>
    <w:rsid w:val="006D0110"/>
    <w:rsid w:val="006D28E7"/>
    <w:rsid w:val="006E1B83"/>
    <w:rsid w:val="006E55EF"/>
    <w:rsid w:val="006E5B11"/>
    <w:rsid w:val="006E7B07"/>
    <w:rsid w:val="006F2FF0"/>
    <w:rsid w:val="006F5288"/>
    <w:rsid w:val="006F623B"/>
    <w:rsid w:val="00701F55"/>
    <w:rsid w:val="007068F7"/>
    <w:rsid w:val="00710B1E"/>
    <w:rsid w:val="00712297"/>
    <w:rsid w:val="00715218"/>
    <w:rsid w:val="0073390C"/>
    <w:rsid w:val="00733BB4"/>
    <w:rsid w:val="00733C5E"/>
    <w:rsid w:val="00742123"/>
    <w:rsid w:val="00742E1E"/>
    <w:rsid w:val="0074372F"/>
    <w:rsid w:val="00745EFC"/>
    <w:rsid w:val="007473E7"/>
    <w:rsid w:val="007635F5"/>
    <w:rsid w:val="007736B9"/>
    <w:rsid w:val="00774C61"/>
    <w:rsid w:val="00775998"/>
    <w:rsid w:val="00775B32"/>
    <w:rsid w:val="00777148"/>
    <w:rsid w:val="00777913"/>
    <w:rsid w:val="00782810"/>
    <w:rsid w:val="0079009D"/>
    <w:rsid w:val="007910DC"/>
    <w:rsid w:val="00791AAA"/>
    <w:rsid w:val="007A4137"/>
    <w:rsid w:val="007B0790"/>
    <w:rsid w:val="007B1E9F"/>
    <w:rsid w:val="007B5B49"/>
    <w:rsid w:val="007B7474"/>
    <w:rsid w:val="007C44F3"/>
    <w:rsid w:val="007C51E4"/>
    <w:rsid w:val="007C7887"/>
    <w:rsid w:val="007D37E4"/>
    <w:rsid w:val="007E22F8"/>
    <w:rsid w:val="007E2360"/>
    <w:rsid w:val="007E25EC"/>
    <w:rsid w:val="007E557B"/>
    <w:rsid w:val="007F3FA4"/>
    <w:rsid w:val="007F47F2"/>
    <w:rsid w:val="00800DE4"/>
    <w:rsid w:val="00801B25"/>
    <w:rsid w:val="008020B8"/>
    <w:rsid w:val="00807950"/>
    <w:rsid w:val="00810B9A"/>
    <w:rsid w:val="00810FE8"/>
    <w:rsid w:val="00812D4C"/>
    <w:rsid w:val="00812DB5"/>
    <w:rsid w:val="008167BD"/>
    <w:rsid w:val="00820DED"/>
    <w:rsid w:val="00822F3D"/>
    <w:rsid w:val="00826097"/>
    <w:rsid w:val="00826B5B"/>
    <w:rsid w:val="00841EA7"/>
    <w:rsid w:val="0084272D"/>
    <w:rsid w:val="00844E88"/>
    <w:rsid w:val="00850639"/>
    <w:rsid w:val="00851BD9"/>
    <w:rsid w:val="00852E8E"/>
    <w:rsid w:val="0085567C"/>
    <w:rsid w:val="0086707F"/>
    <w:rsid w:val="00867386"/>
    <w:rsid w:val="00867D1F"/>
    <w:rsid w:val="00871DB5"/>
    <w:rsid w:val="0087242D"/>
    <w:rsid w:val="00874FC2"/>
    <w:rsid w:val="008753F5"/>
    <w:rsid w:val="0088271B"/>
    <w:rsid w:val="00885155"/>
    <w:rsid w:val="008859A8"/>
    <w:rsid w:val="00886511"/>
    <w:rsid w:val="008874F6"/>
    <w:rsid w:val="00887F8F"/>
    <w:rsid w:val="008A122C"/>
    <w:rsid w:val="008A2E41"/>
    <w:rsid w:val="008A34A1"/>
    <w:rsid w:val="008A3E92"/>
    <w:rsid w:val="008A7AAB"/>
    <w:rsid w:val="008B2A64"/>
    <w:rsid w:val="008B5934"/>
    <w:rsid w:val="008B5A7F"/>
    <w:rsid w:val="008C5055"/>
    <w:rsid w:val="008D5BE0"/>
    <w:rsid w:val="008F0D67"/>
    <w:rsid w:val="008F1881"/>
    <w:rsid w:val="008F50B8"/>
    <w:rsid w:val="009019C5"/>
    <w:rsid w:val="00903164"/>
    <w:rsid w:val="009038F7"/>
    <w:rsid w:val="0090525D"/>
    <w:rsid w:val="00905A53"/>
    <w:rsid w:val="00907CC2"/>
    <w:rsid w:val="009164BA"/>
    <w:rsid w:val="00922C86"/>
    <w:rsid w:val="00923A93"/>
    <w:rsid w:val="00924BBE"/>
    <w:rsid w:val="0092603B"/>
    <w:rsid w:val="00926495"/>
    <w:rsid w:val="009328C3"/>
    <w:rsid w:val="00932E06"/>
    <w:rsid w:val="0093367C"/>
    <w:rsid w:val="00937993"/>
    <w:rsid w:val="009476B1"/>
    <w:rsid w:val="009564BD"/>
    <w:rsid w:val="009568D8"/>
    <w:rsid w:val="009633CB"/>
    <w:rsid w:val="009677EE"/>
    <w:rsid w:val="00970CCE"/>
    <w:rsid w:val="0097770D"/>
    <w:rsid w:val="00981C01"/>
    <w:rsid w:val="00982524"/>
    <w:rsid w:val="0098724D"/>
    <w:rsid w:val="00987335"/>
    <w:rsid w:val="00987752"/>
    <w:rsid w:val="00990F6A"/>
    <w:rsid w:val="00993B55"/>
    <w:rsid w:val="009A293A"/>
    <w:rsid w:val="009A4594"/>
    <w:rsid w:val="009B1840"/>
    <w:rsid w:val="009B3AF0"/>
    <w:rsid w:val="009C2458"/>
    <w:rsid w:val="009C3E49"/>
    <w:rsid w:val="009C71EB"/>
    <w:rsid w:val="009D4D05"/>
    <w:rsid w:val="009D6790"/>
    <w:rsid w:val="009D79CD"/>
    <w:rsid w:val="009E0EF1"/>
    <w:rsid w:val="009F716C"/>
    <w:rsid w:val="009F7EF6"/>
    <w:rsid w:val="00A04CF4"/>
    <w:rsid w:val="00A134F9"/>
    <w:rsid w:val="00A138E1"/>
    <w:rsid w:val="00A45E51"/>
    <w:rsid w:val="00A47A58"/>
    <w:rsid w:val="00A5286F"/>
    <w:rsid w:val="00A561E2"/>
    <w:rsid w:val="00A5629C"/>
    <w:rsid w:val="00A56444"/>
    <w:rsid w:val="00A60B07"/>
    <w:rsid w:val="00A61850"/>
    <w:rsid w:val="00A62CB3"/>
    <w:rsid w:val="00A63570"/>
    <w:rsid w:val="00A70128"/>
    <w:rsid w:val="00A719BD"/>
    <w:rsid w:val="00A813E5"/>
    <w:rsid w:val="00A81575"/>
    <w:rsid w:val="00A81C45"/>
    <w:rsid w:val="00A826D8"/>
    <w:rsid w:val="00A85A36"/>
    <w:rsid w:val="00A87F4C"/>
    <w:rsid w:val="00A92257"/>
    <w:rsid w:val="00A96A13"/>
    <w:rsid w:val="00A97BBC"/>
    <w:rsid w:val="00AA0471"/>
    <w:rsid w:val="00AA106F"/>
    <w:rsid w:val="00AA119E"/>
    <w:rsid w:val="00AA6CFE"/>
    <w:rsid w:val="00AA6E78"/>
    <w:rsid w:val="00AB1253"/>
    <w:rsid w:val="00AC48D2"/>
    <w:rsid w:val="00AC581F"/>
    <w:rsid w:val="00AC7AEF"/>
    <w:rsid w:val="00AD068C"/>
    <w:rsid w:val="00AD6540"/>
    <w:rsid w:val="00AE07A3"/>
    <w:rsid w:val="00AE38E7"/>
    <w:rsid w:val="00AE541C"/>
    <w:rsid w:val="00AE568A"/>
    <w:rsid w:val="00AF2B00"/>
    <w:rsid w:val="00AF7B26"/>
    <w:rsid w:val="00B028F0"/>
    <w:rsid w:val="00B04328"/>
    <w:rsid w:val="00B04A10"/>
    <w:rsid w:val="00B0717A"/>
    <w:rsid w:val="00B10069"/>
    <w:rsid w:val="00B12D0E"/>
    <w:rsid w:val="00B14F3A"/>
    <w:rsid w:val="00B16A43"/>
    <w:rsid w:val="00B16BFE"/>
    <w:rsid w:val="00B22DB4"/>
    <w:rsid w:val="00B2353A"/>
    <w:rsid w:val="00B24880"/>
    <w:rsid w:val="00B2512B"/>
    <w:rsid w:val="00B265A4"/>
    <w:rsid w:val="00B27D38"/>
    <w:rsid w:val="00B3336F"/>
    <w:rsid w:val="00B33E66"/>
    <w:rsid w:val="00B37B5D"/>
    <w:rsid w:val="00B42352"/>
    <w:rsid w:val="00B4440B"/>
    <w:rsid w:val="00B45BC4"/>
    <w:rsid w:val="00B51BFB"/>
    <w:rsid w:val="00B551CB"/>
    <w:rsid w:val="00B57417"/>
    <w:rsid w:val="00B614AB"/>
    <w:rsid w:val="00B806BF"/>
    <w:rsid w:val="00B80ED2"/>
    <w:rsid w:val="00B839CF"/>
    <w:rsid w:val="00B85148"/>
    <w:rsid w:val="00B8699D"/>
    <w:rsid w:val="00B86C8E"/>
    <w:rsid w:val="00B92CA5"/>
    <w:rsid w:val="00B95FBF"/>
    <w:rsid w:val="00BB0316"/>
    <w:rsid w:val="00BB2E07"/>
    <w:rsid w:val="00BE2115"/>
    <w:rsid w:val="00BE4CA2"/>
    <w:rsid w:val="00BE60AE"/>
    <w:rsid w:val="00BF650B"/>
    <w:rsid w:val="00C005AF"/>
    <w:rsid w:val="00C01735"/>
    <w:rsid w:val="00C02E04"/>
    <w:rsid w:val="00C03155"/>
    <w:rsid w:val="00C05CF3"/>
    <w:rsid w:val="00C11B43"/>
    <w:rsid w:val="00C13E31"/>
    <w:rsid w:val="00C21914"/>
    <w:rsid w:val="00C21F82"/>
    <w:rsid w:val="00C25E1D"/>
    <w:rsid w:val="00C264FC"/>
    <w:rsid w:val="00C26766"/>
    <w:rsid w:val="00C33607"/>
    <w:rsid w:val="00C434A1"/>
    <w:rsid w:val="00C454E7"/>
    <w:rsid w:val="00C45865"/>
    <w:rsid w:val="00C47AA0"/>
    <w:rsid w:val="00C50EDF"/>
    <w:rsid w:val="00C520C9"/>
    <w:rsid w:val="00C55C59"/>
    <w:rsid w:val="00C56F5C"/>
    <w:rsid w:val="00C61144"/>
    <w:rsid w:val="00C6455A"/>
    <w:rsid w:val="00C66CA4"/>
    <w:rsid w:val="00C67B58"/>
    <w:rsid w:val="00C67D86"/>
    <w:rsid w:val="00C73361"/>
    <w:rsid w:val="00C74844"/>
    <w:rsid w:val="00C765D3"/>
    <w:rsid w:val="00C76F2B"/>
    <w:rsid w:val="00C803FB"/>
    <w:rsid w:val="00C80EDC"/>
    <w:rsid w:val="00C822FE"/>
    <w:rsid w:val="00C85566"/>
    <w:rsid w:val="00C8704E"/>
    <w:rsid w:val="00C87A67"/>
    <w:rsid w:val="00C90010"/>
    <w:rsid w:val="00C90B4A"/>
    <w:rsid w:val="00C94F9D"/>
    <w:rsid w:val="00C96D1B"/>
    <w:rsid w:val="00CA36AA"/>
    <w:rsid w:val="00CA3B89"/>
    <w:rsid w:val="00CA7299"/>
    <w:rsid w:val="00CA7E5E"/>
    <w:rsid w:val="00CB04EF"/>
    <w:rsid w:val="00CB1252"/>
    <w:rsid w:val="00CB2801"/>
    <w:rsid w:val="00CB3BE6"/>
    <w:rsid w:val="00CB5506"/>
    <w:rsid w:val="00CC32FF"/>
    <w:rsid w:val="00CC5B5D"/>
    <w:rsid w:val="00CD0E8D"/>
    <w:rsid w:val="00CD2F2F"/>
    <w:rsid w:val="00CE0E1E"/>
    <w:rsid w:val="00D16180"/>
    <w:rsid w:val="00D1694D"/>
    <w:rsid w:val="00D17698"/>
    <w:rsid w:val="00D23CA6"/>
    <w:rsid w:val="00D27036"/>
    <w:rsid w:val="00D33834"/>
    <w:rsid w:val="00D33AED"/>
    <w:rsid w:val="00D33F81"/>
    <w:rsid w:val="00D367D6"/>
    <w:rsid w:val="00D418DA"/>
    <w:rsid w:val="00D44250"/>
    <w:rsid w:val="00D444E3"/>
    <w:rsid w:val="00D44FF6"/>
    <w:rsid w:val="00D51B57"/>
    <w:rsid w:val="00D51D45"/>
    <w:rsid w:val="00D56A2B"/>
    <w:rsid w:val="00D62313"/>
    <w:rsid w:val="00D71CCC"/>
    <w:rsid w:val="00D73671"/>
    <w:rsid w:val="00D763E3"/>
    <w:rsid w:val="00D81A62"/>
    <w:rsid w:val="00D83722"/>
    <w:rsid w:val="00D84CE2"/>
    <w:rsid w:val="00D861CB"/>
    <w:rsid w:val="00D93584"/>
    <w:rsid w:val="00D93BB1"/>
    <w:rsid w:val="00D94FA5"/>
    <w:rsid w:val="00DA0441"/>
    <w:rsid w:val="00DA160C"/>
    <w:rsid w:val="00DA2440"/>
    <w:rsid w:val="00DB1521"/>
    <w:rsid w:val="00DC13EB"/>
    <w:rsid w:val="00DC2FEE"/>
    <w:rsid w:val="00DC361F"/>
    <w:rsid w:val="00DC489A"/>
    <w:rsid w:val="00DC707E"/>
    <w:rsid w:val="00DD258A"/>
    <w:rsid w:val="00DD2649"/>
    <w:rsid w:val="00DD2D90"/>
    <w:rsid w:val="00DD49E8"/>
    <w:rsid w:val="00DD670D"/>
    <w:rsid w:val="00DD6C5D"/>
    <w:rsid w:val="00DE5148"/>
    <w:rsid w:val="00DF1678"/>
    <w:rsid w:val="00DF5F4E"/>
    <w:rsid w:val="00DF7398"/>
    <w:rsid w:val="00DF7FAD"/>
    <w:rsid w:val="00E031A6"/>
    <w:rsid w:val="00E06EAA"/>
    <w:rsid w:val="00E100FC"/>
    <w:rsid w:val="00E141EF"/>
    <w:rsid w:val="00E25829"/>
    <w:rsid w:val="00E262A9"/>
    <w:rsid w:val="00E32AE6"/>
    <w:rsid w:val="00E44CAC"/>
    <w:rsid w:val="00E46595"/>
    <w:rsid w:val="00E46DA9"/>
    <w:rsid w:val="00E50362"/>
    <w:rsid w:val="00E50EF0"/>
    <w:rsid w:val="00E51F60"/>
    <w:rsid w:val="00E520B3"/>
    <w:rsid w:val="00E654BE"/>
    <w:rsid w:val="00E65A93"/>
    <w:rsid w:val="00E65E3C"/>
    <w:rsid w:val="00E679F1"/>
    <w:rsid w:val="00E719CC"/>
    <w:rsid w:val="00E71EE1"/>
    <w:rsid w:val="00E72B77"/>
    <w:rsid w:val="00E75431"/>
    <w:rsid w:val="00E77548"/>
    <w:rsid w:val="00E82B24"/>
    <w:rsid w:val="00E840B8"/>
    <w:rsid w:val="00E84698"/>
    <w:rsid w:val="00E90C9D"/>
    <w:rsid w:val="00E94B81"/>
    <w:rsid w:val="00E95876"/>
    <w:rsid w:val="00E95E6F"/>
    <w:rsid w:val="00E970C6"/>
    <w:rsid w:val="00EA2F97"/>
    <w:rsid w:val="00EB181E"/>
    <w:rsid w:val="00EB4E32"/>
    <w:rsid w:val="00EC00DE"/>
    <w:rsid w:val="00EC1038"/>
    <w:rsid w:val="00EC2163"/>
    <w:rsid w:val="00EC2B60"/>
    <w:rsid w:val="00EC5015"/>
    <w:rsid w:val="00ED1967"/>
    <w:rsid w:val="00ED2C9B"/>
    <w:rsid w:val="00ED3626"/>
    <w:rsid w:val="00ED459A"/>
    <w:rsid w:val="00ED5EA3"/>
    <w:rsid w:val="00ED6A0D"/>
    <w:rsid w:val="00ED7158"/>
    <w:rsid w:val="00EF60F7"/>
    <w:rsid w:val="00EF7A9F"/>
    <w:rsid w:val="00F00759"/>
    <w:rsid w:val="00F03E54"/>
    <w:rsid w:val="00F10B32"/>
    <w:rsid w:val="00F120A5"/>
    <w:rsid w:val="00F1707D"/>
    <w:rsid w:val="00F20E50"/>
    <w:rsid w:val="00F21508"/>
    <w:rsid w:val="00F267F0"/>
    <w:rsid w:val="00F34C71"/>
    <w:rsid w:val="00F4032D"/>
    <w:rsid w:val="00F4117B"/>
    <w:rsid w:val="00F478EE"/>
    <w:rsid w:val="00F53A97"/>
    <w:rsid w:val="00F547A5"/>
    <w:rsid w:val="00F55464"/>
    <w:rsid w:val="00F578B9"/>
    <w:rsid w:val="00F6188D"/>
    <w:rsid w:val="00F66168"/>
    <w:rsid w:val="00F67801"/>
    <w:rsid w:val="00F76584"/>
    <w:rsid w:val="00F83261"/>
    <w:rsid w:val="00F8371E"/>
    <w:rsid w:val="00F87F30"/>
    <w:rsid w:val="00F933F0"/>
    <w:rsid w:val="00F965EA"/>
    <w:rsid w:val="00F978F8"/>
    <w:rsid w:val="00FA5AAD"/>
    <w:rsid w:val="00FB3649"/>
    <w:rsid w:val="00FB7170"/>
    <w:rsid w:val="00FB7B1C"/>
    <w:rsid w:val="00FD2964"/>
    <w:rsid w:val="00FD3865"/>
    <w:rsid w:val="00FD5390"/>
    <w:rsid w:val="00FD6E21"/>
    <w:rsid w:val="00FE34A3"/>
    <w:rsid w:val="00FE5E83"/>
    <w:rsid w:val="00FF3750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AA5D8"/>
  <w15:docId w15:val="{6B1BB7A8-B5AC-42E8-9499-6E1285BE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E34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FE34A3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E34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FE34A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E34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locked/>
    <w:rsid w:val="008F18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D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B3D5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55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08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81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08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8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A93D-C589-4B6B-A35E-35E58278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НАВЛИНСКОГО РАЙОНА</vt:lpstr>
    </vt:vector>
  </TitlesOfParts>
  <Company>Home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НАВЛИНСКОГО РАЙОНА</dc:title>
  <dc:creator>User</dc:creator>
  <cp:lastModifiedBy>Финансовое управление</cp:lastModifiedBy>
  <cp:revision>19</cp:revision>
  <cp:lastPrinted>2021-04-27T12:38:00Z</cp:lastPrinted>
  <dcterms:created xsi:type="dcterms:W3CDTF">2023-04-18T08:14:00Z</dcterms:created>
  <dcterms:modified xsi:type="dcterms:W3CDTF">2025-10-29T08:57:00Z</dcterms:modified>
</cp:coreProperties>
</file>